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FA025" w14:textId="77777777" w:rsidR="003B01FF" w:rsidRDefault="003B01FF" w:rsidP="003B01FF">
      <w:pPr>
        <w:spacing w:after="0" w:line="240" w:lineRule="auto"/>
        <w:ind w:left="720"/>
        <w:jc w:val="center"/>
        <w:rPr>
          <w:sz w:val="24"/>
          <w:szCs w:val="24"/>
          <w:lang w:val="el-GR"/>
        </w:rPr>
      </w:pPr>
      <w:r w:rsidRPr="00A2458E">
        <w:rPr>
          <w:noProof/>
          <w:lang w:eastAsia="en-GB"/>
        </w:rPr>
        <w:drawing>
          <wp:inline distT="0" distB="0" distL="0" distR="0" wp14:anchorId="3569A747" wp14:editId="31431DC5">
            <wp:extent cx="1954327" cy="7315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8763" cy="740667"/>
                    </a:xfrm>
                    <a:prstGeom prst="rect">
                      <a:avLst/>
                    </a:prstGeom>
                    <a:noFill/>
                    <a:ln>
                      <a:noFill/>
                    </a:ln>
                  </pic:spPr>
                </pic:pic>
              </a:graphicData>
            </a:graphic>
          </wp:inline>
        </w:drawing>
      </w:r>
    </w:p>
    <w:p w14:paraId="6BFF95D6" w14:textId="77777777" w:rsidR="003B01FF" w:rsidRDefault="003B01FF" w:rsidP="003B01FF">
      <w:pPr>
        <w:spacing w:after="0" w:line="240" w:lineRule="auto"/>
        <w:ind w:left="720"/>
        <w:jc w:val="center"/>
        <w:rPr>
          <w:b/>
          <w:bCs/>
          <w:sz w:val="24"/>
          <w:szCs w:val="24"/>
          <w:lang w:val="el-GR"/>
        </w:rPr>
      </w:pPr>
    </w:p>
    <w:p w14:paraId="4724303F" w14:textId="77777777" w:rsidR="003B01FF" w:rsidRPr="000206BD" w:rsidRDefault="003B01FF" w:rsidP="003B01FF">
      <w:pPr>
        <w:spacing w:after="120" w:line="240" w:lineRule="auto"/>
        <w:ind w:left="357" w:hanging="357"/>
        <w:jc w:val="center"/>
        <w:rPr>
          <w:rFonts w:ascii="Calibri" w:eastAsiaTheme="minorEastAsia" w:hAnsi="Calibri" w:cstheme="minorHAnsi"/>
          <w:b/>
          <w:bCs/>
          <w:sz w:val="26"/>
          <w:szCs w:val="26"/>
          <w:lang w:eastAsia="el-GR"/>
        </w:rPr>
      </w:pPr>
      <w:r>
        <w:rPr>
          <w:rFonts w:ascii="Calibri" w:eastAsiaTheme="minorEastAsia" w:hAnsi="Calibri" w:cstheme="minorHAnsi"/>
          <w:b/>
          <w:bCs/>
          <w:sz w:val="26"/>
          <w:szCs w:val="26"/>
          <w:lang w:eastAsia="el-GR"/>
        </w:rPr>
        <w:t>Announcement</w:t>
      </w:r>
    </w:p>
    <w:p w14:paraId="525BC451" w14:textId="77777777" w:rsidR="003B01FF" w:rsidRPr="003B01FF" w:rsidRDefault="003B01FF" w:rsidP="003B01FF">
      <w:pPr>
        <w:spacing w:after="0" w:line="240" w:lineRule="auto"/>
        <w:ind w:left="720"/>
        <w:jc w:val="center"/>
        <w:rPr>
          <w:b/>
          <w:bCs/>
          <w:sz w:val="24"/>
          <w:szCs w:val="24"/>
          <w:lang w:val="en-US"/>
        </w:rPr>
      </w:pPr>
    </w:p>
    <w:p w14:paraId="258732B1" w14:textId="6898BB23" w:rsidR="003B01FF" w:rsidRPr="00595861" w:rsidRDefault="00E12091" w:rsidP="003B01FF">
      <w:pPr>
        <w:spacing w:after="0" w:line="240" w:lineRule="auto"/>
        <w:ind w:left="720"/>
        <w:jc w:val="center"/>
        <w:rPr>
          <w:b/>
          <w:bCs/>
          <w:sz w:val="24"/>
          <w:szCs w:val="24"/>
          <w:lang w:val="en-US"/>
        </w:rPr>
      </w:pPr>
      <w:r>
        <w:rPr>
          <w:b/>
          <w:bCs/>
          <w:sz w:val="24"/>
          <w:szCs w:val="24"/>
          <w:lang w:val="en-US"/>
        </w:rPr>
        <w:t>“</w:t>
      </w:r>
      <w:r w:rsidR="003B01FF" w:rsidRPr="00595861">
        <w:rPr>
          <w:b/>
          <w:bCs/>
          <w:sz w:val="24"/>
          <w:szCs w:val="24"/>
          <w:lang w:val="en-US"/>
        </w:rPr>
        <w:t xml:space="preserve">HFSF as the majority shareholder in Piraeus Bank to facilitate </w:t>
      </w:r>
    </w:p>
    <w:p w14:paraId="4EB06CEB" w14:textId="47A14DCD" w:rsidR="003B01FF" w:rsidRPr="003B01FF" w:rsidRDefault="003B01FF" w:rsidP="003B01FF">
      <w:pPr>
        <w:spacing w:after="0" w:line="240" w:lineRule="auto"/>
        <w:ind w:left="720"/>
        <w:jc w:val="center"/>
        <w:rPr>
          <w:b/>
          <w:bCs/>
          <w:sz w:val="24"/>
          <w:szCs w:val="24"/>
          <w:lang w:val="en-US"/>
        </w:rPr>
      </w:pPr>
      <w:r w:rsidRPr="003B01FF">
        <w:rPr>
          <w:b/>
          <w:bCs/>
          <w:sz w:val="24"/>
          <w:szCs w:val="24"/>
          <w:lang w:val="en-US"/>
        </w:rPr>
        <w:t>the bank's return to private sector ownership</w:t>
      </w:r>
      <w:r w:rsidR="00E12091">
        <w:rPr>
          <w:b/>
          <w:bCs/>
          <w:sz w:val="24"/>
          <w:szCs w:val="24"/>
          <w:lang w:val="en-US"/>
        </w:rPr>
        <w:t>”</w:t>
      </w:r>
    </w:p>
    <w:p w14:paraId="614F4B2F" w14:textId="77777777" w:rsidR="003B01FF" w:rsidRPr="003B01FF" w:rsidRDefault="003B01FF" w:rsidP="003B01FF">
      <w:pPr>
        <w:spacing w:after="0" w:line="240" w:lineRule="auto"/>
        <w:ind w:left="720"/>
        <w:jc w:val="center"/>
        <w:rPr>
          <w:b/>
          <w:bCs/>
          <w:sz w:val="24"/>
          <w:szCs w:val="24"/>
          <w:lang w:val="en-US"/>
        </w:rPr>
      </w:pPr>
    </w:p>
    <w:p w14:paraId="3A0445C8" w14:textId="77777777" w:rsidR="003B01FF" w:rsidRPr="0081385C" w:rsidRDefault="003B01FF" w:rsidP="003B01FF">
      <w:pPr>
        <w:spacing w:after="0" w:line="240" w:lineRule="auto"/>
        <w:ind w:left="720"/>
        <w:jc w:val="center"/>
        <w:rPr>
          <w:b/>
          <w:bCs/>
          <w:sz w:val="24"/>
          <w:szCs w:val="24"/>
          <w:lang w:val="en-US"/>
        </w:rPr>
      </w:pPr>
    </w:p>
    <w:p w14:paraId="50F5DF39" w14:textId="1536AB07" w:rsidR="003B01FF" w:rsidRPr="00CA57BB" w:rsidRDefault="003B01FF" w:rsidP="003B01FF">
      <w:pPr>
        <w:spacing w:after="0" w:line="276" w:lineRule="auto"/>
        <w:jc w:val="both"/>
        <w:rPr>
          <w:rFonts w:cstheme="minorHAnsi"/>
          <w:color w:val="000000"/>
          <w:sz w:val="24"/>
          <w:szCs w:val="24"/>
          <w:lang w:val="en-US"/>
        </w:rPr>
      </w:pPr>
      <w:r w:rsidRPr="00CA57BB">
        <w:rPr>
          <w:rFonts w:cstheme="minorHAnsi"/>
          <w:b/>
          <w:bCs/>
          <w:color w:val="000000"/>
          <w:sz w:val="24"/>
          <w:szCs w:val="24"/>
          <w:lang w:val="en-US"/>
        </w:rPr>
        <w:t xml:space="preserve">Athens, November </w:t>
      </w:r>
      <w:r w:rsidR="008437F4" w:rsidRPr="00C24FC6">
        <w:rPr>
          <w:rFonts w:cstheme="minorHAnsi"/>
          <w:b/>
          <w:bCs/>
          <w:color w:val="000000"/>
          <w:sz w:val="24"/>
          <w:szCs w:val="24"/>
          <w:lang w:val="en-US"/>
        </w:rPr>
        <w:t xml:space="preserve">23, </w:t>
      </w:r>
      <w:r w:rsidRPr="00CA57BB">
        <w:rPr>
          <w:rFonts w:cstheme="minorHAnsi"/>
          <w:b/>
          <w:bCs/>
          <w:color w:val="000000"/>
          <w:sz w:val="24"/>
          <w:szCs w:val="24"/>
          <w:lang w:val="en-US"/>
        </w:rPr>
        <w:t>2020.</w:t>
      </w:r>
      <w:r>
        <w:rPr>
          <w:rFonts w:cstheme="minorHAnsi"/>
          <w:color w:val="000000"/>
          <w:sz w:val="24"/>
          <w:szCs w:val="24"/>
          <w:lang w:val="en-US"/>
        </w:rPr>
        <w:t xml:space="preserve"> </w:t>
      </w:r>
      <w:r w:rsidRPr="00CA57BB">
        <w:rPr>
          <w:rFonts w:cstheme="minorHAnsi"/>
          <w:color w:val="000000"/>
          <w:sz w:val="24"/>
          <w:szCs w:val="24"/>
          <w:lang w:val="en-US"/>
        </w:rPr>
        <w:t>The Hellenic Financial Stability Fund (HFSF) was notified by Piraeus Bank that following a decision of the ECB</w:t>
      </w:r>
      <w:r w:rsidR="00C24FC6" w:rsidRPr="00C24FC6">
        <w:rPr>
          <w:rFonts w:cstheme="minorHAnsi"/>
          <w:color w:val="000000"/>
          <w:sz w:val="24"/>
          <w:szCs w:val="24"/>
          <w:lang w:val="en-US"/>
        </w:rPr>
        <w:t xml:space="preserve"> </w:t>
      </w:r>
      <w:r w:rsidR="00C24FC6">
        <w:rPr>
          <w:rFonts w:cstheme="minorHAnsi"/>
          <w:color w:val="000000"/>
          <w:sz w:val="24"/>
          <w:szCs w:val="24"/>
          <w:lang w:val="en-US"/>
        </w:rPr>
        <w:t xml:space="preserve">Governing Council </w:t>
      </w:r>
      <w:r w:rsidRPr="00CA57BB">
        <w:rPr>
          <w:rFonts w:cstheme="minorHAnsi"/>
          <w:color w:val="000000"/>
          <w:sz w:val="24"/>
          <w:szCs w:val="24"/>
          <w:lang w:val="en-US"/>
        </w:rPr>
        <w:t>the Bank will not be paying in cash the 2020 coupon of the Contingent Convertible Bond (</w:t>
      </w:r>
      <w:proofErr w:type="spellStart"/>
      <w:r w:rsidRPr="00CA57BB">
        <w:rPr>
          <w:rFonts w:cstheme="minorHAnsi"/>
          <w:color w:val="000000"/>
          <w:sz w:val="24"/>
          <w:szCs w:val="24"/>
          <w:lang w:val="en-US"/>
        </w:rPr>
        <w:t>CoCo</w:t>
      </w:r>
      <w:proofErr w:type="spellEnd"/>
      <w:r w:rsidRPr="00CA57BB">
        <w:rPr>
          <w:rFonts w:cstheme="minorHAnsi"/>
          <w:color w:val="000000"/>
          <w:sz w:val="24"/>
          <w:szCs w:val="24"/>
          <w:lang w:val="en-US"/>
        </w:rPr>
        <w:t>) held by the Fund.  As a result, the HFSF anticipates it will become a 61.3</w:t>
      </w:r>
      <w:r w:rsidR="002A44F9">
        <w:rPr>
          <w:rFonts w:cstheme="minorHAnsi"/>
          <w:color w:val="000000"/>
          <w:sz w:val="24"/>
          <w:szCs w:val="24"/>
          <w:lang w:val="en-US"/>
        </w:rPr>
        <w:t>4</w:t>
      </w:r>
      <w:r w:rsidRPr="00CA57BB">
        <w:rPr>
          <w:rFonts w:cstheme="minorHAnsi"/>
          <w:color w:val="000000"/>
          <w:sz w:val="24"/>
          <w:szCs w:val="24"/>
          <w:lang w:val="en-US"/>
        </w:rPr>
        <w:t xml:space="preserve">% shareholder in Piraeus Bank following the mandatory conversion of the </w:t>
      </w:r>
      <w:proofErr w:type="spellStart"/>
      <w:r w:rsidRPr="00CA57BB">
        <w:rPr>
          <w:rFonts w:cstheme="minorHAnsi"/>
          <w:color w:val="000000"/>
          <w:sz w:val="24"/>
          <w:szCs w:val="24"/>
          <w:lang w:val="en-US"/>
        </w:rPr>
        <w:t>CoCo</w:t>
      </w:r>
      <w:proofErr w:type="spellEnd"/>
      <w:r w:rsidRPr="00CA57BB">
        <w:rPr>
          <w:rFonts w:cstheme="minorHAnsi"/>
          <w:color w:val="000000"/>
          <w:sz w:val="24"/>
          <w:szCs w:val="24"/>
          <w:lang w:val="en-US"/>
        </w:rPr>
        <w:t xml:space="preserve"> principal, in accordance with the instrument’s terms agreed in 2015.</w:t>
      </w:r>
    </w:p>
    <w:p w14:paraId="0381782F" w14:textId="77777777" w:rsidR="003B01FF" w:rsidRPr="00CA57BB" w:rsidRDefault="003B01FF" w:rsidP="003B01FF">
      <w:pPr>
        <w:spacing w:after="0" w:line="276" w:lineRule="auto"/>
        <w:jc w:val="both"/>
        <w:rPr>
          <w:rFonts w:cstheme="minorHAnsi"/>
          <w:color w:val="000000"/>
          <w:sz w:val="24"/>
          <w:szCs w:val="24"/>
          <w:lang w:val="en-US"/>
        </w:rPr>
      </w:pPr>
    </w:p>
    <w:p w14:paraId="18EC5AD3" w14:textId="77777777" w:rsidR="003B01FF" w:rsidRPr="00CA57BB" w:rsidRDefault="003B01FF" w:rsidP="003B01FF">
      <w:pPr>
        <w:spacing w:after="0" w:line="276" w:lineRule="auto"/>
        <w:jc w:val="both"/>
        <w:rPr>
          <w:rFonts w:cstheme="minorHAnsi"/>
          <w:color w:val="000000"/>
          <w:sz w:val="24"/>
          <w:szCs w:val="24"/>
          <w:lang w:val="en-US"/>
        </w:rPr>
      </w:pPr>
      <w:r w:rsidRPr="00CA57BB">
        <w:rPr>
          <w:rFonts w:cstheme="minorHAnsi"/>
          <w:color w:val="000000"/>
          <w:sz w:val="24"/>
          <w:szCs w:val="24"/>
          <w:lang w:val="en-US"/>
        </w:rPr>
        <w:t>The HFSF has a statutory objective to protect the public interest and to support financial stability.  It is, therefore, prepared to support the Bank in strengthening its balance sheet, reducing materially NPEs, enhancing its operating efficiency and laying the basis for sustainable organic capital generation.</w:t>
      </w:r>
    </w:p>
    <w:p w14:paraId="3E650986" w14:textId="77777777" w:rsidR="003B01FF" w:rsidRPr="00CA57BB" w:rsidRDefault="003B01FF" w:rsidP="003B01FF">
      <w:pPr>
        <w:spacing w:after="0" w:line="276" w:lineRule="auto"/>
        <w:jc w:val="both"/>
        <w:rPr>
          <w:rFonts w:cstheme="minorHAnsi"/>
          <w:color w:val="000000"/>
          <w:sz w:val="24"/>
          <w:szCs w:val="24"/>
          <w:lang w:val="en-US"/>
        </w:rPr>
      </w:pPr>
    </w:p>
    <w:p w14:paraId="452B2E59" w14:textId="77777777" w:rsidR="003B01FF" w:rsidRPr="00CA57BB" w:rsidRDefault="003B01FF" w:rsidP="003B01FF">
      <w:pPr>
        <w:spacing w:after="0" w:line="276" w:lineRule="auto"/>
        <w:jc w:val="both"/>
        <w:rPr>
          <w:rFonts w:cstheme="minorHAnsi"/>
          <w:color w:val="000000"/>
          <w:sz w:val="24"/>
          <w:szCs w:val="24"/>
          <w:lang w:val="en-US"/>
        </w:rPr>
      </w:pPr>
      <w:r w:rsidRPr="00CA57BB">
        <w:rPr>
          <w:rFonts w:cstheme="minorHAnsi"/>
          <w:color w:val="000000"/>
          <w:sz w:val="24"/>
          <w:szCs w:val="24"/>
          <w:lang w:val="en-US"/>
        </w:rPr>
        <w:t>The HFSF will continue to support the Board of Directors and the current Executive Management team of Piraeus Bank in pursuing the Bank's strategy with emphasis in the transformation and de-risking initiatives.</w:t>
      </w:r>
    </w:p>
    <w:p w14:paraId="249DEFEA" w14:textId="77777777" w:rsidR="003B01FF" w:rsidRPr="00CA57BB" w:rsidRDefault="003B01FF" w:rsidP="003B01FF">
      <w:pPr>
        <w:spacing w:after="0" w:line="276" w:lineRule="auto"/>
        <w:jc w:val="both"/>
        <w:rPr>
          <w:rFonts w:cstheme="minorHAnsi"/>
          <w:color w:val="000000"/>
          <w:sz w:val="24"/>
          <w:szCs w:val="24"/>
          <w:lang w:val="en-US"/>
        </w:rPr>
      </w:pPr>
    </w:p>
    <w:p w14:paraId="5A09A6D8" w14:textId="7CBA6AD1" w:rsidR="003B01FF" w:rsidRDefault="003B01FF" w:rsidP="003B01FF">
      <w:pPr>
        <w:jc w:val="both"/>
        <w:rPr>
          <w:rFonts w:cstheme="minorHAnsi"/>
          <w:color w:val="000000"/>
          <w:sz w:val="24"/>
          <w:szCs w:val="24"/>
          <w:lang w:val="en-US"/>
        </w:rPr>
      </w:pPr>
      <w:r w:rsidRPr="00CA57BB">
        <w:rPr>
          <w:rFonts w:cstheme="minorHAnsi"/>
          <w:color w:val="000000"/>
          <w:sz w:val="24"/>
          <w:szCs w:val="24"/>
          <w:lang w:val="en-US"/>
        </w:rPr>
        <w:t xml:space="preserve">The HFSF </w:t>
      </w:r>
      <w:r w:rsidR="00705BC6" w:rsidRPr="00CA57BB">
        <w:rPr>
          <w:rFonts w:cstheme="minorHAnsi"/>
          <w:color w:val="000000"/>
          <w:sz w:val="24"/>
          <w:szCs w:val="24"/>
          <w:lang w:val="en-US"/>
        </w:rPr>
        <w:t>recognizes</w:t>
      </w:r>
      <w:r w:rsidRPr="00CA57BB">
        <w:rPr>
          <w:rFonts w:cstheme="minorHAnsi"/>
          <w:color w:val="000000"/>
          <w:sz w:val="24"/>
          <w:szCs w:val="24"/>
          <w:lang w:val="en-US"/>
        </w:rPr>
        <w:t xml:space="preserve"> the long-term commitment of the existing private shareholders and the importance of public market solutions.  In the course of </w:t>
      </w:r>
      <w:r w:rsidR="00D579FD">
        <w:rPr>
          <w:rFonts w:cstheme="minorHAnsi"/>
          <w:color w:val="000000"/>
          <w:sz w:val="24"/>
          <w:szCs w:val="24"/>
          <w:lang w:val="en-US"/>
        </w:rPr>
        <w:t>2021</w:t>
      </w:r>
      <w:r w:rsidRPr="00CA57BB">
        <w:rPr>
          <w:rFonts w:cstheme="minorHAnsi"/>
          <w:color w:val="000000"/>
          <w:sz w:val="24"/>
          <w:szCs w:val="24"/>
          <w:lang w:val="en-US"/>
        </w:rPr>
        <w:t xml:space="preserve">, and in line with its statutory objectives, the Fund </w:t>
      </w:r>
      <w:r w:rsidR="00705BC6">
        <w:rPr>
          <w:rFonts w:cstheme="minorHAnsi"/>
          <w:color w:val="000000"/>
          <w:sz w:val="24"/>
          <w:szCs w:val="24"/>
          <w:lang w:val="en-US"/>
        </w:rPr>
        <w:t>inten</w:t>
      </w:r>
      <w:r w:rsidR="00397C37">
        <w:rPr>
          <w:rFonts w:cstheme="minorHAnsi"/>
          <w:color w:val="000000"/>
          <w:sz w:val="24"/>
          <w:szCs w:val="24"/>
          <w:lang w:val="en-US"/>
        </w:rPr>
        <w:t>d</w:t>
      </w:r>
      <w:r w:rsidR="00705BC6">
        <w:rPr>
          <w:rFonts w:cstheme="minorHAnsi"/>
          <w:color w:val="000000"/>
          <w:sz w:val="24"/>
          <w:szCs w:val="24"/>
          <w:lang w:val="en-US"/>
        </w:rPr>
        <w:t>s to lower</w:t>
      </w:r>
      <w:r w:rsidR="00D579FD">
        <w:rPr>
          <w:rFonts w:cstheme="minorHAnsi"/>
          <w:color w:val="000000"/>
          <w:sz w:val="24"/>
          <w:szCs w:val="24"/>
          <w:lang w:val="en-US"/>
        </w:rPr>
        <w:t xml:space="preserve"> </w:t>
      </w:r>
      <w:r w:rsidRPr="00CA57BB">
        <w:rPr>
          <w:rFonts w:cstheme="minorHAnsi"/>
          <w:color w:val="000000"/>
          <w:sz w:val="24"/>
          <w:szCs w:val="24"/>
          <w:lang w:val="en-US"/>
        </w:rPr>
        <w:t xml:space="preserve">its participation </w:t>
      </w:r>
      <w:r w:rsidR="00D579FD">
        <w:rPr>
          <w:rFonts w:cstheme="minorHAnsi"/>
          <w:color w:val="000000"/>
          <w:sz w:val="24"/>
          <w:szCs w:val="24"/>
          <w:lang w:val="en-US"/>
        </w:rPr>
        <w:t xml:space="preserve">in Piraeus Bank </w:t>
      </w:r>
      <w:r w:rsidRPr="00CA57BB">
        <w:rPr>
          <w:rFonts w:cstheme="minorHAnsi"/>
          <w:color w:val="000000"/>
          <w:sz w:val="24"/>
          <w:szCs w:val="24"/>
          <w:lang w:val="en-US"/>
        </w:rPr>
        <w:t>to a non-blocking minority, subject to supportive market conditions, preserving the Bank’s capital strength and protecting the public interest.</w:t>
      </w:r>
    </w:p>
    <w:p w14:paraId="3F528735" w14:textId="77777777" w:rsidR="003B01FF" w:rsidRDefault="003B01FF" w:rsidP="003B01FF">
      <w:pPr>
        <w:rPr>
          <w:rFonts w:ascii="Calibri" w:eastAsia="Times New Roman" w:hAnsi="Calibri" w:cs="Calibri"/>
          <w:b/>
          <w:bCs/>
          <w:lang w:val="en-US"/>
        </w:rPr>
      </w:pPr>
    </w:p>
    <w:p w14:paraId="5C19D4D1" w14:textId="77777777" w:rsidR="003B01FF" w:rsidRPr="006429B1" w:rsidRDefault="003B01FF" w:rsidP="003B01FF">
      <w:pPr>
        <w:jc w:val="both"/>
        <w:rPr>
          <w:rFonts w:cstheme="minorHAnsi"/>
          <w:b/>
          <w:bCs/>
          <w:color w:val="000000" w:themeColor="text1"/>
          <w:sz w:val="24"/>
          <w:szCs w:val="24"/>
        </w:rPr>
      </w:pPr>
      <w:r w:rsidRPr="006429B1">
        <w:rPr>
          <w:rFonts w:cstheme="minorHAnsi"/>
          <w:b/>
          <w:bCs/>
          <w:color w:val="000000" w:themeColor="text1"/>
          <w:sz w:val="24"/>
          <w:szCs w:val="24"/>
        </w:rPr>
        <w:t>THE END</w:t>
      </w:r>
    </w:p>
    <w:p w14:paraId="66064A96" w14:textId="77777777" w:rsidR="003B01FF" w:rsidRPr="006429B1" w:rsidRDefault="003B01FF" w:rsidP="003B01FF">
      <w:pPr>
        <w:spacing w:after="0" w:line="276" w:lineRule="auto"/>
        <w:ind w:hanging="357"/>
        <w:contextualSpacing/>
        <w:jc w:val="both"/>
        <w:rPr>
          <w:rFonts w:ascii="Calibri" w:hAnsi="Calibri" w:cstheme="minorHAnsi"/>
          <w:b/>
          <w:bCs/>
          <w:sz w:val="24"/>
          <w:szCs w:val="24"/>
        </w:rPr>
      </w:pPr>
    </w:p>
    <w:p w14:paraId="1A685594" w14:textId="77777777" w:rsidR="003B01FF" w:rsidRPr="006429B1" w:rsidRDefault="003B01FF" w:rsidP="003B01FF">
      <w:pPr>
        <w:rPr>
          <w:rFonts w:eastAsia="Times New Roman" w:cstheme="minorHAnsi"/>
          <w:b/>
          <w:bCs/>
          <w:i/>
          <w:iCs/>
          <w:sz w:val="24"/>
          <w:szCs w:val="24"/>
        </w:rPr>
      </w:pPr>
      <w:r w:rsidRPr="006429B1">
        <w:rPr>
          <w:rFonts w:eastAsia="Times New Roman" w:cstheme="minorHAnsi"/>
          <w:b/>
          <w:bCs/>
          <w:i/>
          <w:iCs/>
          <w:sz w:val="24"/>
          <w:szCs w:val="24"/>
        </w:rPr>
        <w:t xml:space="preserve">For additional information: </w:t>
      </w:r>
    </w:p>
    <w:p w14:paraId="2FA7D6A0" w14:textId="77777777" w:rsidR="003B01FF" w:rsidRPr="006429B1" w:rsidRDefault="003B01FF" w:rsidP="003B01FF">
      <w:pPr>
        <w:rPr>
          <w:rFonts w:cstheme="minorHAnsi"/>
          <w:sz w:val="24"/>
          <w:szCs w:val="24"/>
        </w:rPr>
      </w:pPr>
      <w:r w:rsidRPr="006429B1">
        <w:rPr>
          <w:rFonts w:cstheme="minorHAnsi"/>
          <w:sz w:val="24"/>
          <w:szCs w:val="24"/>
        </w:rPr>
        <w:t xml:space="preserve">Katerina Papakonstantinou, Communications &amp; Public Relations Officer, 215-5606971, 6980614904, </w:t>
      </w:r>
      <w:hyperlink r:id="rId7" w:history="1">
        <w:r w:rsidRPr="006429B1">
          <w:rPr>
            <w:rFonts w:cstheme="minorHAnsi"/>
            <w:color w:val="0563C1" w:themeColor="hyperlink"/>
            <w:sz w:val="24"/>
            <w:szCs w:val="24"/>
            <w:u w:val="single"/>
          </w:rPr>
          <w:t>kpapakonstantinou@hfsf.gr</w:t>
        </w:r>
      </w:hyperlink>
      <w:r w:rsidRPr="006429B1">
        <w:rPr>
          <w:rFonts w:cstheme="minorHAnsi"/>
          <w:sz w:val="24"/>
          <w:szCs w:val="24"/>
        </w:rPr>
        <w:t xml:space="preserve"> </w:t>
      </w:r>
    </w:p>
    <w:p w14:paraId="54E17305" w14:textId="3E2577BE" w:rsidR="003B01FF" w:rsidRDefault="003B01FF" w:rsidP="003B01FF">
      <w:pPr>
        <w:spacing w:after="0" w:line="240" w:lineRule="auto"/>
        <w:jc w:val="both"/>
        <w:textAlignment w:val="baseline"/>
        <w:rPr>
          <w:rFonts w:eastAsia="Times New Roman" w:cstheme="minorHAnsi"/>
          <w:sz w:val="24"/>
          <w:szCs w:val="24"/>
        </w:rPr>
      </w:pPr>
    </w:p>
    <w:p w14:paraId="3E6F9488" w14:textId="77777777" w:rsidR="00E12091" w:rsidRDefault="00E12091" w:rsidP="003B01FF">
      <w:pPr>
        <w:spacing w:after="0" w:line="240" w:lineRule="auto"/>
        <w:jc w:val="both"/>
        <w:textAlignment w:val="baseline"/>
        <w:rPr>
          <w:rFonts w:eastAsia="Times New Roman" w:cstheme="minorHAnsi"/>
          <w:sz w:val="24"/>
          <w:szCs w:val="24"/>
        </w:rPr>
      </w:pPr>
    </w:p>
    <w:p w14:paraId="5663ADF6" w14:textId="77777777" w:rsidR="003B01FF" w:rsidRPr="006429B1" w:rsidRDefault="003B01FF" w:rsidP="003B01FF">
      <w:pPr>
        <w:spacing w:after="0" w:line="240" w:lineRule="auto"/>
        <w:jc w:val="both"/>
        <w:textAlignment w:val="baseline"/>
        <w:rPr>
          <w:rFonts w:eastAsia="Times New Roman" w:cstheme="minorHAnsi"/>
          <w:sz w:val="24"/>
          <w:szCs w:val="24"/>
        </w:rPr>
      </w:pPr>
      <w:r w:rsidRPr="006429B1">
        <w:rPr>
          <w:rFonts w:eastAsia="Times New Roman" w:cstheme="minorHAnsi"/>
          <w:b/>
          <w:bCs/>
          <w:i/>
          <w:iCs/>
          <w:sz w:val="24"/>
          <w:szCs w:val="24"/>
        </w:rPr>
        <w:lastRenderedPageBreak/>
        <w:t>About Hellenic Financial Stability Fund (HFSF)</w:t>
      </w:r>
    </w:p>
    <w:p w14:paraId="4915A9AE" w14:textId="77777777" w:rsidR="003B01FF" w:rsidRPr="006429B1" w:rsidRDefault="003B01FF" w:rsidP="003B01FF">
      <w:pPr>
        <w:spacing w:after="0" w:line="240" w:lineRule="auto"/>
        <w:jc w:val="both"/>
        <w:textAlignment w:val="baseline"/>
        <w:rPr>
          <w:rFonts w:cstheme="minorHAnsi"/>
          <w:color w:val="000000"/>
          <w:sz w:val="24"/>
          <w:szCs w:val="24"/>
        </w:rPr>
      </w:pPr>
    </w:p>
    <w:p w14:paraId="5F1B66F4" w14:textId="77777777" w:rsidR="003B01FF" w:rsidRPr="006429B1" w:rsidRDefault="003B01FF" w:rsidP="003B01FF">
      <w:pPr>
        <w:autoSpaceDE w:val="0"/>
        <w:autoSpaceDN w:val="0"/>
        <w:adjustRightInd w:val="0"/>
        <w:jc w:val="both"/>
        <w:rPr>
          <w:rFonts w:cstheme="minorHAnsi"/>
          <w:color w:val="000000"/>
          <w:sz w:val="24"/>
          <w:szCs w:val="24"/>
        </w:rPr>
      </w:pPr>
      <w:r w:rsidRPr="006429B1">
        <w:rPr>
          <w:rFonts w:cstheme="minorHAnsi"/>
          <w:color w:val="000000"/>
          <w:sz w:val="24"/>
          <w:szCs w:val="24"/>
        </w:rPr>
        <w:t xml:space="preserve">The Hellenic Financial Stability Fund (HFSF) was founded in July 2010 with the objective of contributing to the stability of the Greek banking system for the public interest.  Under its founding law (Ν. 3864/2010) it enjoys administrative and financial autonomy and operates as a private legal entity.  </w:t>
      </w:r>
    </w:p>
    <w:p w14:paraId="39498A50" w14:textId="77777777" w:rsidR="003B01FF" w:rsidRPr="00595861" w:rsidRDefault="003B01FF" w:rsidP="003B01FF">
      <w:pPr>
        <w:rPr>
          <w:rFonts w:ascii="Calibri" w:eastAsia="Times New Roman" w:hAnsi="Calibri" w:cs="Calibri"/>
          <w:b/>
          <w:bCs/>
        </w:rPr>
      </w:pPr>
    </w:p>
    <w:p w14:paraId="554BF993" w14:textId="77777777" w:rsidR="003B01FF" w:rsidRDefault="003B01FF" w:rsidP="003B01FF">
      <w:pPr>
        <w:pStyle w:val="ListParagraph"/>
        <w:rPr>
          <w:rFonts w:ascii="Calibri" w:eastAsia="Times New Roman" w:hAnsi="Calibri" w:cs="Calibri"/>
          <w:b/>
          <w:bCs/>
          <w:lang w:val="en-US"/>
        </w:rPr>
      </w:pPr>
    </w:p>
    <w:p w14:paraId="5EB2666D" w14:textId="77777777" w:rsidR="003B01FF" w:rsidRDefault="003B01FF" w:rsidP="003B01FF">
      <w:pPr>
        <w:pStyle w:val="ListParagraph"/>
        <w:rPr>
          <w:rFonts w:ascii="Calibri" w:eastAsia="Times New Roman" w:hAnsi="Calibri" w:cs="Calibri"/>
          <w:b/>
          <w:bCs/>
          <w:lang w:val="en-US"/>
        </w:rPr>
      </w:pPr>
    </w:p>
    <w:p w14:paraId="7D103E42" w14:textId="77777777" w:rsidR="003B01FF" w:rsidRDefault="003B01FF" w:rsidP="003B01FF">
      <w:pPr>
        <w:pStyle w:val="ListParagraph"/>
        <w:rPr>
          <w:rFonts w:ascii="Calibri" w:eastAsia="Times New Roman" w:hAnsi="Calibri" w:cs="Calibri"/>
          <w:b/>
          <w:bCs/>
          <w:lang w:val="en-US"/>
        </w:rPr>
      </w:pPr>
    </w:p>
    <w:p w14:paraId="733161EF" w14:textId="77777777" w:rsidR="003B01FF" w:rsidRDefault="003B01FF" w:rsidP="003B01FF">
      <w:pPr>
        <w:pStyle w:val="ListParagraph"/>
        <w:rPr>
          <w:rFonts w:ascii="Calibri" w:eastAsia="Times New Roman" w:hAnsi="Calibri" w:cs="Calibri"/>
          <w:b/>
          <w:bCs/>
          <w:lang w:val="en-US"/>
        </w:rPr>
      </w:pPr>
    </w:p>
    <w:p w14:paraId="488706AF" w14:textId="77777777" w:rsidR="003B01FF" w:rsidRDefault="003B01FF" w:rsidP="003B01FF">
      <w:pPr>
        <w:pStyle w:val="ListParagraph"/>
        <w:rPr>
          <w:rFonts w:ascii="Calibri" w:eastAsia="Times New Roman" w:hAnsi="Calibri" w:cs="Calibri"/>
          <w:b/>
          <w:bCs/>
          <w:lang w:val="en-US"/>
        </w:rPr>
      </w:pPr>
    </w:p>
    <w:p w14:paraId="7F1840F6" w14:textId="77777777" w:rsidR="003B01FF" w:rsidRDefault="003B01FF" w:rsidP="003B01FF">
      <w:pPr>
        <w:pStyle w:val="ListParagraph"/>
        <w:rPr>
          <w:rFonts w:ascii="Calibri" w:eastAsia="Times New Roman" w:hAnsi="Calibri" w:cs="Calibri"/>
          <w:b/>
          <w:bCs/>
          <w:lang w:val="en-US"/>
        </w:rPr>
      </w:pPr>
    </w:p>
    <w:p w14:paraId="608111F4" w14:textId="77777777" w:rsidR="003B01FF" w:rsidRDefault="003B01FF" w:rsidP="003B01FF">
      <w:pPr>
        <w:pStyle w:val="ListParagraph"/>
        <w:rPr>
          <w:rFonts w:ascii="Calibri" w:eastAsia="Times New Roman" w:hAnsi="Calibri" w:cs="Calibri"/>
          <w:b/>
          <w:bCs/>
          <w:lang w:val="en-US"/>
        </w:rPr>
      </w:pPr>
    </w:p>
    <w:p w14:paraId="529AAFC1" w14:textId="77777777" w:rsidR="003B01FF" w:rsidRDefault="003B01FF" w:rsidP="003B01FF">
      <w:pPr>
        <w:pStyle w:val="ListParagraph"/>
        <w:rPr>
          <w:rFonts w:ascii="Calibri" w:eastAsia="Times New Roman" w:hAnsi="Calibri" w:cs="Calibri"/>
          <w:b/>
          <w:bCs/>
          <w:lang w:val="en-US"/>
        </w:rPr>
      </w:pPr>
    </w:p>
    <w:p w14:paraId="13557175" w14:textId="77777777" w:rsidR="003B01FF" w:rsidRDefault="003B01FF" w:rsidP="003B01FF">
      <w:pPr>
        <w:pStyle w:val="ListParagraph"/>
        <w:rPr>
          <w:rFonts w:ascii="Calibri" w:eastAsia="Times New Roman" w:hAnsi="Calibri" w:cs="Calibri"/>
          <w:b/>
          <w:bCs/>
          <w:lang w:val="en-US"/>
        </w:rPr>
      </w:pPr>
    </w:p>
    <w:p w14:paraId="4FEE5006" w14:textId="77777777" w:rsidR="003B01FF" w:rsidRDefault="003B01FF" w:rsidP="003B01FF">
      <w:pPr>
        <w:pStyle w:val="ListParagraph"/>
        <w:rPr>
          <w:rFonts w:ascii="Calibri" w:eastAsia="Times New Roman" w:hAnsi="Calibri" w:cs="Calibri"/>
          <w:b/>
          <w:bCs/>
          <w:lang w:val="en-US"/>
        </w:rPr>
      </w:pPr>
    </w:p>
    <w:p w14:paraId="0480CAB4" w14:textId="77777777" w:rsidR="003B01FF" w:rsidRDefault="003B01FF" w:rsidP="003B01FF">
      <w:pPr>
        <w:pStyle w:val="ListParagraph"/>
        <w:rPr>
          <w:rFonts w:ascii="Calibri" w:eastAsia="Times New Roman" w:hAnsi="Calibri" w:cs="Calibri"/>
          <w:b/>
          <w:bCs/>
          <w:lang w:val="en-US"/>
        </w:rPr>
      </w:pPr>
    </w:p>
    <w:p w14:paraId="5BED0AAB" w14:textId="77777777" w:rsidR="003B01FF" w:rsidRDefault="003B01FF" w:rsidP="003B01FF">
      <w:pPr>
        <w:pStyle w:val="ListParagraph"/>
        <w:rPr>
          <w:rFonts w:ascii="Calibri" w:eastAsia="Times New Roman" w:hAnsi="Calibri" w:cs="Calibri"/>
          <w:b/>
          <w:bCs/>
          <w:lang w:val="en-US"/>
        </w:rPr>
      </w:pPr>
    </w:p>
    <w:p w14:paraId="2FBF3390" w14:textId="77777777" w:rsidR="003B01FF" w:rsidRPr="0001504D" w:rsidRDefault="003B01FF" w:rsidP="003B01FF">
      <w:pPr>
        <w:pStyle w:val="ListParagraph"/>
        <w:rPr>
          <w:rFonts w:ascii="Calibri" w:eastAsia="Times New Roman" w:hAnsi="Calibri" w:cs="Calibri"/>
          <w:b/>
          <w:bCs/>
          <w:lang w:val="en-US"/>
        </w:rPr>
      </w:pPr>
    </w:p>
    <w:p w14:paraId="5529F54D" w14:textId="77777777" w:rsidR="003B01FF" w:rsidRPr="0001504D" w:rsidRDefault="003B01FF" w:rsidP="003B01FF">
      <w:pPr>
        <w:rPr>
          <w:sz w:val="24"/>
          <w:szCs w:val="24"/>
          <w:lang w:val="en-US"/>
        </w:rPr>
      </w:pPr>
    </w:p>
    <w:p w14:paraId="45B46A95" w14:textId="77777777" w:rsidR="003B01FF" w:rsidRDefault="003B01FF" w:rsidP="003B01FF">
      <w:pPr>
        <w:rPr>
          <w:lang w:val="en-US"/>
        </w:rPr>
      </w:pPr>
    </w:p>
    <w:p w14:paraId="77555022" w14:textId="77777777" w:rsidR="00AF1B43" w:rsidRPr="003B01FF" w:rsidRDefault="00AF1B43">
      <w:pPr>
        <w:rPr>
          <w:lang w:val="en-US"/>
        </w:rPr>
      </w:pPr>
    </w:p>
    <w:sectPr w:rsidR="00AF1B43" w:rsidRPr="003B01FF">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A4A40" w14:textId="77777777" w:rsidR="001B79AA" w:rsidRDefault="001B79AA">
      <w:pPr>
        <w:spacing w:after="0" w:line="240" w:lineRule="auto"/>
      </w:pPr>
      <w:r>
        <w:separator/>
      </w:r>
    </w:p>
  </w:endnote>
  <w:endnote w:type="continuationSeparator" w:id="0">
    <w:p w14:paraId="6146F2C9" w14:textId="77777777" w:rsidR="001B79AA" w:rsidRDefault="001B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D346" w14:textId="31848B11" w:rsidR="009638D3" w:rsidRPr="00B77562" w:rsidRDefault="003B01FF" w:rsidP="009638D3">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"wsKG"  \* MERGEFORMAT </w:instrText>
    </w:r>
    <w:r>
      <w:rPr>
        <w:rFonts w:ascii="Tahoma" w:hAnsi="Tahoma" w:cs="Tahoma"/>
        <w:smallCaps/>
        <w:noProof/>
        <w:color w:val="404040"/>
        <w:sz w:val="16"/>
      </w:rPr>
      <w:fldChar w:fldCharType="separate"/>
    </w:r>
    <w:r w:rsidR="0054521B">
      <w:rPr>
        <w:rFonts w:ascii="Tahoma" w:hAnsi="Tahoma" w:cs="Tahoma"/>
        <w:b/>
        <w:bCs/>
        <w:smallCaps/>
        <w:noProof/>
        <w:color w:val="404040"/>
        <w:sz w:val="16"/>
        <w:lang w:val="en-US"/>
      </w:rPr>
      <w:t>Error! Unknown document property name.</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745530"/>
      <w:docPartObj>
        <w:docPartGallery w:val="Page Numbers (Bottom of Page)"/>
        <w:docPartUnique/>
      </w:docPartObj>
    </w:sdtPr>
    <w:sdtEndPr>
      <w:rPr>
        <w:noProof/>
      </w:rPr>
    </w:sdtEndPr>
    <w:sdtContent>
      <w:p w14:paraId="7B88295C" w14:textId="77777777" w:rsidR="00514627" w:rsidRDefault="001B79AA">
        <w:pPr>
          <w:pStyle w:val="Footer"/>
          <w:jc w:val="right"/>
        </w:pPr>
      </w:p>
      <w:p w14:paraId="31A7AC74" w14:textId="77777777" w:rsidR="005D7E2A" w:rsidRDefault="001B79AA">
        <w:pPr>
          <w:pStyle w:val="Footer"/>
          <w:jc w:val="right"/>
        </w:pPr>
      </w:p>
    </w:sdtContent>
  </w:sdt>
  <w:p w14:paraId="088FA5B3" w14:textId="77777777" w:rsidR="005D7E2A" w:rsidRDefault="001B7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862A0" w14:textId="535808EA" w:rsidR="009638D3" w:rsidRPr="00B77562" w:rsidRDefault="003B01FF" w:rsidP="009638D3">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"wsKG"  \* MERGEFORMAT </w:instrText>
    </w:r>
    <w:r>
      <w:rPr>
        <w:rFonts w:ascii="Tahoma" w:hAnsi="Tahoma" w:cs="Tahoma"/>
        <w:smallCaps/>
        <w:noProof/>
        <w:color w:val="404040"/>
        <w:sz w:val="16"/>
      </w:rPr>
      <w:fldChar w:fldCharType="separate"/>
    </w:r>
    <w:r w:rsidR="0054521B">
      <w:rPr>
        <w:rFonts w:ascii="Tahoma" w:hAnsi="Tahoma" w:cs="Tahoma"/>
        <w:b/>
        <w:bCs/>
        <w:smallCaps/>
        <w:noProof/>
        <w:color w:val="404040"/>
        <w:sz w:val="16"/>
        <w:lang w:val="en-US"/>
      </w:rPr>
      <w:t>Error! Unknown document property name.</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124F" w14:textId="77777777" w:rsidR="001B79AA" w:rsidRDefault="001B79AA">
      <w:pPr>
        <w:spacing w:after="0" w:line="240" w:lineRule="auto"/>
      </w:pPr>
      <w:r>
        <w:separator/>
      </w:r>
    </w:p>
  </w:footnote>
  <w:footnote w:type="continuationSeparator" w:id="0">
    <w:p w14:paraId="36EC8140" w14:textId="77777777" w:rsidR="001B79AA" w:rsidRDefault="001B7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FF"/>
    <w:rsid w:val="001924E7"/>
    <w:rsid w:val="001B79AA"/>
    <w:rsid w:val="002A44F9"/>
    <w:rsid w:val="002D3EF6"/>
    <w:rsid w:val="00316259"/>
    <w:rsid w:val="00397C37"/>
    <w:rsid w:val="003B01FF"/>
    <w:rsid w:val="0054521B"/>
    <w:rsid w:val="00557BF8"/>
    <w:rsid w:val="00610635"/>
    <w:rsid w:val="00705BC6"/>
    <w:rsid w:val="008437F4"/>
    <w:rsid w:val="00930203"/>
    <w:rsid w:val="00A667F5"/>
    <w:rsid w:val="00AF1B43"/>
    <w:rsid w:val="00BB550C"/>
    <w:rsid w:val="00C24FC6"/>
    <w:rsid w:val="00C46225"/>
    <w:rsid w:val="00D579FD"/>
    <w:rsid w:val="00E12091"/>
    <w:rsid w:val="00F10C65"/>
    <w:rsid w:val="00FD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6855"/>
  <w15:chartTrackingRefBased/>
  <w15:docId w15:val="{04DC93B0-61D7-4762-817A-7EB95D43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F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1FF"/>
    <w:pPr>
      <w:spacing w:after="0" w:line="240" w:lineRule="auto"/>
      <w:ind w:left="720"/>
    </w:pPr>
    <w:rPr>
      <w:rFonts w:ascii="Times New Roman" w:hAnsi="Times New Roman" w:cs="Times New Roman"/>
      <w:sz w:val="24"/>
      <w:szCs w:val="24"/>
      <w:lang w:val="el-GR" w:eastAsia="el-GR"/>
    </w:rPr>
  </w:style>
  <w:style w:type="paragraph" w:styleId="Footer">
    <w:name w:val="footer"/>
    <w:basedOn w:val="Normal"/>
    <w:link w:val="FooterChar"/>
    <w:uiPriority w:val="99"/>
    <w:unhideWhenUsed/>
    <w:rsid w:val="003B01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01F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papakonstantinou@hfsf.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Papakonstantinou</dc:creator>
  <cp:keywords/>
  <dc:description/>
  <cp:lastModifiedBy>Katerina Papakonstantinou</cp:lastModifiedBy>
  <cp:revision>6</cp:revision>
  <cp:lastPrinted>2020-11-23T15:22:00Z</cp:lastPrinted>
  <dcterms:created xsi:type="dcterms:W3CDTF">2020-11-22T21:32:00Z</dcterms:created>
  <dcterms:modified xsi:type="dcterms:W3CDTF">2020-11-23T15:22:00Z</dcterms:modified>
</cp:coreProperties>
</file>